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ВЕРХНЕЛЮБАЖСКОГО СЕЛЬСОВЕТА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ФАТЕЖСКОГО РАЙОНА 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>
      <w:pPr>
        <w:pStyle w:val="Normal"/>
        <w:spacing w:before="0" w:after="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 «11» октября  2019 г.                                                                № 62</w:t>
      </w:r>
    </w:p>
    <w:p>
      <w:pPr>
        <w:pStyle w:val="Normal"/>
        <w:spacing w:before="0" w:after="0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before="0" w:after="0"/>
        <w:ind w:right="4819" w:hanging="0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 утверждении Указаний об установлении, детализации и определении порядка применения бюджетной классификации Россий-ской Федерации в части, относящейся к бюджету Верхнелюбажского сельсовета Фатежского района Курской области</w:t>
      </w:r>
    </w:p>
    <w:p>
      <w:pPr>
        <w:pStyle w:val="Normal"/>
        <w:spacing w:before="0" w:after="0"/>
        <w:ind w:right="4819" w:hang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требованиями статьи 8 Бюджетного кодекса Российской Федерации, Приказом Министерства финансов Российской Федерации от 1 июля 2013 г. № 65н «Об утверждении Указаний о порядке применения бюджетной классификации Российской Федерации» (с учетом изменений и дополнений): 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прилагаемые Указания об установлении, детализации и определении порядка применения бюджетной классификации Российской Федерации в части, относящейся к бюджету Верхнелюбажского сельсовета Фатежского района Курской области.</w:t>
      </w:r>
    </w:p>
    <w:p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Контроль за исполнением настоящего распоряжения возложить на   начальника отдела Администрации Верхнелюбажского сельсовета Фатежского района Н. В. Алехину, главного специалиста  Администрации Верхнелюбажского сельсовета Фатежского района Т. А. Агафонову.</w:t>
      </w:r>
    </w:p>
    <w:p>
      <w:pPr>
        <w:pStyle w:val="ConsPlusNormal"/>
        <w:widowControl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3. Настоящее распоряжение вступает в силу с 1 января 2020 года.</w:t>
      </w:r>
    </w:p>
    <w:p>
      <w:pPr>
        <w:pStyle w:val="Normal"/>
        <w:spacing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Глава Верхнелюбажского сельсовета                                  </w:t>
      </w:r>
    </w:p>
    <w:p>
      <w:pPr>
        <w:pStyle w:val="ConsPlusNormal"/>
        <w:widowControl/>
        <w:ind w:hanging="0"/>
        <w:rPr/>
      </w:pPr>
      <w:r>
        <w:rPr>
          <w:rFonts w:cs="Times New Roman" w:ascii="Times New Roman" w:hAnsi="Times New Roman"/>
          <w:sz w:val="28"/>
          <w:szCs w:val="28"/>
        </w:rPr>
        <w:t>Фатежского района                                                                  Е. М. Чуйкова</w:t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ind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Утверждено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распоряжением администрации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Верхнелюбажского сельсовета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Фатежского района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от 11.10. 2019года№ 62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«Об утверждении Указаний об установлении, </w:t>
      </w:r>
    </w:p>
    <w:p>
      <w:pPr>
        <w:pStyle w:val="Normal"/>
        <w:spacing w:lineRule="auto" w:line="240" w:before="0" w:after="0"/>
        <w:ind w:right="-1" w:hanging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детализации и определении порядка применения </w:t>
      </w:r>
    </w:p>
    <w:p>
      <w:pPr>
        <w:pStyle w:val="Normal"/>
        <w:spacing w:lineRule="auto" w:line="240" w:before="0" w:after="0"/>
        <w:ind w:right="-1" w:hanging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бюджетной классификации Российской Федерации в части,</w:t>
      </w:r>
    </w:p>
    <w:p>
      <w:pPr>
        <w:pStyle w:val="Normal"/>
        <w:spacing w:lineRule="auto" w:line="240" w:before="0" w:after="0"/>
        <w:ind w:right="-1" w:hanging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относящейся к бюджету Верхнелюбажского сельсовета</w:t>
      </w:r>
    </w:p>
    <w:p>
      <w:pPr>
        <w:pStyle w:val="Normal"/>
        <w:spacing w:lineRule="auto" w:line="240" w:before="0" w:after="0"/>
        <w:ind w:right="-1" w:hanging="0"/>
        <w:jc w:val="right"/>
        <w:rPr/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Фатежского района Курской области»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           бюджету муниципального образования «Верхнелюбажский сельсовет»                                 Фатежского района Курской области</w:t>
      </w:r>
    </w:p>
    <w:p>
      <w:pPr>
        <w:pStyle w:val="Style16"/>
        <w:tabs>
          <w:tab w:val="left" w:pos="5415" w:leader="none"/>
        </w:tabs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I. Классификация расходов бюджета муниципального образования «Верхнелюбажский сельсовет» Фатежского района</w:t>
      </w:r>
    </w:p>
    <w:p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b/>
          <w:color w:val="FF0000"/>
          <w:sz w:val="28"/>
          <w:szCs w:val="28"/>
        </w:rPr>
      </w:r>
    </w:p>
    <w:p>
      <w:pPr>
        <w:pStyle w:val="Con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8"/>
          <w:szCs w:val="28"/>
        </w:rPr>
        <w:t>Целевые статьи</w:t>
      </w:r>
    </w:p>
    <w:p>
      <w:pPr>
        <w:pStyle w:val="ConsNormal"/>
        <w:widowControl/>
        <w:ind w:left="709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Целевые статьи расходов бюджета муниципального образования обеспечивают привязку бюджетных ассигнований к муниципальным программам, и (или) не включенным в муниципальные программы направлениям деятельности органов местного самоуправления (муниципальных органов), органов местной администрации,  учреждений  культуры, управление хозяйственного обслуживания,  указанных в ведомственной структуре расходов бюджета муниципального образования, и (или) к расходным обязательствам, подлежащим исполнению за счет средств бюджета муниципального образования.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целевой статьи расходов бюджетов состоит из 10 разрядов        (8 - 17 разряды кода классификации расходов бюджетов) и включает следующие составные части: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программного (непрограммного) направления расходов (8 – 9 разряды кода классификации расходов бюджетов), предназначенный для кодирования муниципальных программ Верхнелюбажского сельсовета Фатежского района Курской области, непрограммных направлений деятельности органов местного самоуправления;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подпрограммы (10 разряд кода классификации расходов бюджетов), предназначенный для кодирования подпрограмм муниципальных программ Верхнелюбажского сельсовета Фатежского района Курской области, целевых программ, предусмотренных в рамках муниципальных программ Верхнелюбажского сельсовета Фатежского района Курской области, а также непрограммных направлений деятельности  органов местного самоуправления;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основного мероприятия (11-12 разряды кода классификации расходов бюджетов), предназначенный для группировки конкретных мероприятий, имеющих общее целевое значение, в целях обеспечения эффективного управления реализацией муниципальной программы;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направления расходов (13 - 17 разряды) предназначен для кодирования направлений расходования средств, конкретизирующих (при необходимости) отдельные мероприятия.</w:t>
      </w:r>
    </w:p>
    <w:p>
      <w:pPr>
        <w:pStyle w:val="ConsNormal"/>
        <w:widowControl/>
        <w:ind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1.1. Перечень и правила отнесения расходов бюджета Верхнелюбажского сельсовета Фатежского района Курской области на соответствующие целевые статьи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1.1.1. Муниципальная программа «Развитие культуры в Верхнелюбажском сельсовете Фатежского района Курской области»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Целевые статьи муниципальной программы «Развитие культуры в Фатежском районе Курской области» включают: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 0 00 00000 Муниципальная программа «Развитие культуры в Верхнелюбажском сельсовете Фатежского района Курской области»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данной целевой статье отражаются расходы бюджета муниципального образования на реализацию муниципальной программы «</w:t>
      </w:r>
      <w:r>
        <w:rPr>
          <w:rFonts w:ascii="Times New Roman" w:hAnsi="Times New Roman"/>
          <w:bCs/>
          <w:sz w:val="28"/>
          <w:szCs w:val="28"/>
        </w:rPr>
        <w:t>Развитие культуры в Верхнелюбажском сельсовете Фатежского района Курской области»</w:t>
      </w:r>
      <w:r>
        <w:rPr>
          <w:rFonts w:ascii="Times New Roman" w:hAnsi="Times New Roman"/>
          <w:sz w:val="28"/>
          <w:szCs w:val="28"/>
        </w:rPr>
        <w:t>, разработанной в соответствии с Перечнем муниципальных программ, утвержденным постановлением Администрации Верхнелюбажского сельсовета Фатежского района  от</w:t>
      </w:r>
      <w:r>
        <w:rPr>
          <w:rFonts w:ascii="Times New Roman" w:hAnsi="Times New Roman"/>
          <w:color w:val="000000"/>
          <w:sz w:val="28"/>
          <w:szCs w:val="28"/>
        </w:rPr>
        <w:t xml:space="preserve"> 22.10.2018 года№287,</w:t>
      </w:r>
      <w:r>
        <w:rPr>
          <w:rFonts w:ascii="Times New Roman" w:hAnsi="Times New Roman"/>
          <w:sz w:val="28"/>
          <w:szCs w:val="28"/>
        </w:rPr>
        <w:t xml:space="preserve"> осуществляемые по следующим подпрограммам муниципальной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01 2 00 00000</w:t>
      </w:r>
      <w:r>
        <w:rPr>
          <w:rFonts w:ascii="Times New Roman" w:hAnsi="Times New Roman"/>
          <w:color w:val="000000"/>
          <w:sz w:val="28"/>
          <w:szCs w:val="28"/>
        </w:rPr>
        <w:t xml:space="preserve"> Подпрограмма «Искусство» муниципальной программы Верхнелюбажского сельсовета Фатежского района Курской области «Развитие культуры в Верхнелюбажском сельсовете  Фатежского района Курской области»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 2 01 00000Основное мероприятие «</w:t>
      </w:r>
      <w:r>
        <w:rPr>
          <w:rFonts w:ascii="Times New Roman" w:hAnsi="Times New Roman"/>
          <w:color w:val="000000"/>
          <w:sz w:val="28"/>
          <w:szCs w:val="28"/>
        </w:rPr>
        <w:t>Организация культурно-досуговой деятельности»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данной целевой статье отражаются расходы бюджета муниципального образования на реализацию подпрограммы по соответствующим направлениям расходов, в том числе: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С1401 Расходы на обеспечение деятельности (оказание услуг) муниципальных учреждений.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По данному направлению расходов отражаются расходы бюджета муниципального образования на содержание и обеспечение деятельности (оказание услуг) муниципальных учреждений, в том числе на предоставление бюджетным и автономным учреждениям субсидий.</w:t>
      </w:r>
    </w:p>
    <w:p>
      <w:pPr>
        <w:pStyle w:val="Normal"/>
        <w:spacing w:lineRule="auto" w:line="240" w:before="0" w:after="0"/>
        <w:jc w:val="center"/>
        <w:rPr/>
      </w:pPr>
      <w:bookmarkStart w:id="0" w:name="Par1706"/>
      <w:bookmarkStart w:id="1" w:name="Par1675"/>
      <w:bookmarkEnd w:id="0"/>
      <w:bookmarkEnd w:id="1"/>
      <w:r>
        <w:rPr>
          <w:rFonts w:ascii="Times New Roman" w:hAnsi="Times New Roman"/>
          <w:b/>
          <w:sz w:val="28"/>
          <w:szCs w:val="28"/>
        </w:rPr>
        <w:t xml:space="preserve">1.1.13. Муниципальная </w:t>
      </w:r>
      <w:hyperlink r:id="rId2">
        <w:r>
          <w:rPr>
            <w:rStyle w:val="Style15"/>
            <w:rFonts w:ascii="Times New Roman" w:hAnsi="Times New Roman"/>
            <w:b/>
            <w:sz w:val="28"/>
            <w:szCs w:val="28"/>
          </w:rPr>
          <w:t>программа</w:t>
        </w:r>
      </w:hyperlink>
      <w:r>
        <w:rPr>
          <w:rFonts w:ascii="Times New Roman" w:hAnsi="Times New Roman"/>
          <w:b/>
          <w:sz w:val="28"/>
          <w:szCs w:val="28"/>
        </w:rPr>
        <w:t xml:space="preserve"> 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>
      <w:pPr>
        <w:pStyle w:val="Normal"/>
        <w:widowControl w:val="false"/>
        <w:spacing w:lineRule="auto" w:line="240" w:before="0" w:after="0"/>
        <w:jc w:val="both"/>
        <w:rPr/>
      </w:pPr>
      <w:bookmarkStart w:id="2" w:name="Par799"/>
      <w:bookmarkEnd w:id="2"/>
      <w:r>
        <w:rPr>
          <w:rFonts w:ascii="Times New Roman" w:hAnsi="Times New Roman"/>
          <w:sz w:val="28"/>
          <w:szCs w:val="28"/>
        </w:rPr>
        <w:t xml:space="preserve">Целевые статьи муниципальной  </w:t>
      </w:r>
      <w:hyperlink r:id="rId3">
        <w:r>
          <w:rPr>
            <w:rStyle w:val="Style15"/>
            <w:rFonts w:ascii="Times New Roman" w:hAnsi="Times New Roman"/>
            <w:sz w:val="28"/>
            <w:szCs w:val="28"/>
          </w:rPr>
          <w:t>программ</w:t>
        </w:r>
      </w:hyperlink>
      <w:r>
        <w:rPr>
          <w:rFonts w:ascii="Times New Roman" w:hAnsi="Times New Roman"/>
          <w:sz w:val="28"/>
          <w:szCs w:val="28"/>
        </w:rPr>
        <w:t xml:space="preserve">ы  «Защита населения и территории от чрезвычайных ситуаций, обеспечение пожарной безопасности и безопасности людей на водных объектах»включают: </w:t>
      </w:r>
    </w:p>
    <w:p>
      <w:pPr>
        <w:pStyle w:val="Normal"/>
        <w:widowControl w:val="false"/>
        <w:spacing w:lineRule="auto" w:line="240" w:before="0" w:after="0"/>
        <w:jc w:val="center"/>
        <w:rPr/>
      </w:pPr>
      <w:bookmarkStart w:id="3" w:name="Par959"/>
      <w:bookmarkEnd w:id="3"/>
      <w:r>
        <w:rPr>
          <w:rFonts w:ascii="Times New Roman" w:hAnsi="Times New Roman"/>
          <w:sz w:val="28"/>
          <w:szCs w:val="28"/>
        </w:rPr>
        <w:t xml:space="preserve">13 0 00 00000 Муниципальная </w:t>
      </w:r>
      <w:hyperlink r:id="rId4">
        <w:r>
          <w:rPr>
            <w:rStyle w:val="Style15"/>
            <w:rFonts w:ascii="Times New Roman" w:hAnsi="Times New Roman"/>
            <w:sz w:val="28"/>
            <w:szCs w:val="28"/>
          </w:rPr>
          <w:t>программа</w:t>
        </w:r>
      </w:hyperlink>
      <w:r>
        <w:rPr>
          <w:rFonts w:ascii="Times New Roman" w:hAnsi="Times New Roman"/>
          <w:sz w:val="28"/>
          <w:szCs w:val="28"/>
        </w:rPr>
        <w:t xml:space="preserve"> 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данной целевой статье отражаются расходы бюджета муниципального образования на реализацию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объектах», разработанной в соответствии с Перечнем муниципальных программ, утвержденным постановлением Администрации Фатежского района Курской области от 31.10.2014 года № 197, осуществляемые по следующим подпрограммам муниципальной программы.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1 00 00000 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13 1 01 00000 </w:t>
      </w:r>
      <w:r>
        <w:rPr>
          <w:rFonts w:ascii="Times New Roman" w:hAnsi="Times New Roman"/>
          <w:color w:val="000000"/>
          <w:sz w:val="28"/>
          <w:szCs w:val="28"/>
        </w:rPr>
        <w:t>Основное мероприятие «Обеспечение деятельности и организация мероприятий по предупреждению и ликвидации чрезвычайных ситуаций»</w:t>
      </w:r>
    </w:p>
    <w:p>
      <w:pPr>
        <w:pStyle w:val="NoSpacing1"/>
        <w:ind w:firstLine="567"/>
        <w:jc w:val="both"/>
        <w:rPr>
          <w:bCs/>
        </w:rPr>
      </w:pPr>
      <w:r>
        <w:rPr>
          <w:bCs/>
          <w:sz w:val="28"/>
          <w:szCs w:val="28"/>
        </w:rPr>
        <w:t>По данной целевой статье отражаются расходы бюджета муниципального образования на реализацию подпрограммы по соответствующим направлениям расходов, в том числе: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С1415 Обеспечение первичных мер пожарной безопасности в границах населенных пунктов муниципальных образований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По данному направлению расходов отражаются расходы на обеспечение первичных мер пожарной безопасности в границах населенных пунктов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1.1.71. Обеспечение функционирования главы  муниципального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71 0 00 00000 Обеспечение функционирования главы муниципального образования</w:t>
      </w:r>
    </w:p>
    <w:p>
      <w:pPr>
        <w:pStyle w:val="NoSpacing1"/>
        <w:jc w:val="both"/>
        <w:rPr>
          <w:sz w:val="28"/>
          <w:szCs w:val="28"/>
        </w:rPr>
      </w:pPr>
      <w:r>
        <w:rPr>
          <w:bCs/>
          <w:sz w:val="28"/>
          <w:szCs w:val="28"/>
        </w:rPr>
        <w:t>Целевые статьи непрограммного направления расходов бюджета муниципального образования включают:</w:t>
      </w:r>
    </w:p>
    <w:p>
      <w:pPr>
        <w:pStyle w:val="NoSpacing1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Spacing1"/>
        <w:ind w:firstLine="567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71 1 00 00000 </w:t>
      </w:r>
      <w:r>
        <w:rPr>
          <w:sz w:val="28"/>
          <w:szCs w:val="28"/>
        </w:rPr>
        <w:t>Глава муниципального образования</w:t>
      </w:r>
    </w:p>
    <w:p>
      <w:pPr>
        <w:pStyle w:val="NoSpacing1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1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 данной целевой статье отражаются расходы бюджета муниципального образования на оплату труда, с учетом начислений, </w:t>
      </w:r>
      <w:r>
        <w:rPr>
          <w:sz w:val="28"/>
          <w:szCs w:val="28"/>
        </w:rPr>
        <w:t>главе муниципального образования</w:t>
      </w:r>
      <w:r>
        <w:rPr>
          <w:bCs/>
          <w:sz w:val="28"/>
          <w:szCs w:val="28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С1402 </w:t>
      </w:r>
      <w:r>
        <w:rPr>
          <w:rFonts w:ascii="Times New Roman" w:hAnsi="Times New Roman"/>
          <w:sz w:val="28"/>
          <w:szCs w:val="28"/>
        </w:rPr>
        <w:t>Обеспечение деятельности и выполнение функций органов местного самоуправления.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на: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оплату труда с учетом начислений и социальные выплаты главе администрации органа местного самоуправления;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аппаратов исполнительных органов местного самоуправления;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аппарата органа законодательной (представительной) власти муниципального образования;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аппаратов органов финансового (финансово-бюджетного) надзора (контроля) муниципального образования;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оплату труда с учетом начислений и социальные выплаты руководителю законодательного (представительного) органа муниципального образования;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оплату труда с учетом начислений и социальные выплаты депутатам (членам) законодательного (представительного) органа муниципального образования;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оплату труда с учетом начислений и социальные выплаты руководителю контрольно-счетного органа муниципального образования.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1.1.73. </w:t>
      </w:r>
      <w:r>
        <w:rPr>
          <w:rFonts w:ascii="Times New Roman" w:hAnsi="Times New Roman"/>
          <w:b/>
          <w:sz w:val="28"/>
          <w:szCs w:val="28"/>
        </w:rPr>
        <w:t>Обеспечение функционирования местных администраций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73 0 00 00000 Обеспечение функционирования местных администраций</w:t>
      </w:r>
    </w:p>
    <w:p>
      <w:pPr>
        <w:pStyle w:val="NoSpacing1"/>
        <w:jc w:val="both"/>
        <w:rPr>
          <w:sz w:val="28"/>
          <w:szCs w:val="28"/>
        </w:rPr>
      </w:pPr>
      <w:r>
        <w:rPr>
          <w:bCs/>
          <w:sz w:val="28"/>
          <w:szCs w:val="28"/>
        </w:rPr>
        <w:t>Целевые статьи непрограммного направления расходов бюджета муниципального образования включают:</w:t>
      </w:r>
    </w:p>
    <w:p>
      <w:pPr>
        <w:pStyle w:val="NoSpacing1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73 1 00 00000 </w:t>
      </w:r>
      <w:r>
        <w:rPr>
          <w:sz w:val="28"/>
          <w:szCs w:val="28"/>
        </w:rPr>
        <w:t>Обеспечение деятельности администрации         муниципального образования</w:t>
      </w:r>
    </w:p>
    <w:p>
      <w:pPr>
        <w:pStyle w:val="NoSpacing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 данной целевой статье отражаются расходы бюджета муниципального образования содержание администрации муниципального образования.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С1402 </w:t>
      </w:r>
      <w:r>
        <w:rPr>
          <w:rFonts w:ascii="Times New Roman" w:hAnsi="Times New Roman"/>
          <w:sz w:val="28"/>
          <w:szCs w:val="28"/>
        </w:rPr>
        <w:t>Обеспечение деятельности и выполнение функций органов местного самоуправления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на: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оплату труда с учетом начислений и социальные выплаты главе администрации органа местного самоуправления;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аппаратов исполнительных органов местного самоуправления;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аппарата органа законодательной (представительной) власти муниципального образования;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аппаратов органов финансового (финансово-бюджетного) надзора (контроля) муниципального образования;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оплату труда с учетом начислений и социальные выплаты руководителю законодательного (представительного) органа муниципального образования;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оплату труда с учетом начислений и социальные выплаты депутатам (членам) законодательного (представительного) органа муниципального образования;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оплату труда с учетом начислений и социальные выплаты руководителю контрольно-счетного органа муниципального образования.</w:t>
      </w:r>
    </w:p>
    <w:p>
      <w:pPr>
        <w:pStyle w:val="NoSpacing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1.1.74. </w:t>
      </w:r>
      <w:r>
        <w:rPr>
          <w:b/>
          <w:sz w:val="28"/>
          <w:szCs w:val="28"/>
        </w:rPr>
        <w:t>Обеспечение деятельности контрольно-счетных органов              муниципального образования</w:t>
      </w:r>
    </w:p>
    <w:p>
      <w:pPr>
        <w:pStyle w:val="NoSpacing1"/>
        <w:jc w:val="center"/>
        <w:rPr>
          <w:sz w:val="28"/>
          <w:szCs w:val="28"/>
        </w:rPr>
      </w:pPr>
      <w:r>
        <w:rPr>
          <w:sz w:val="28"/>
          <w:szCs w:val="28"/>
        </w:rPr>
        <w:t>74 0 00 00000 Обеспечение деятельности контрольно-счетных органов муниципального образования</w:t>
      </w:r>
    </w:p>
    <w:p>
      <w:pPr>
        <w:pStyle w:val="NoSpacing1"/>
        <w:jc w:val="both"/>
        <w:rPr>
          <w:sz w:val="28"/>
          <w:szCs w:val="28"/>
        </w:rPr>
      </w:pPr>
      <w:r>
        <w:rPr>
          <w:bCs/>
          <w:sz w:val="28"/>
          <w:szCs w:val="28"/>
        </w:rPr>
        <w:t>Целевые статьи непрограммного направления расходов бюджета муниципального образования включают:</w:t>
      </w:r>
    </w:p>
    <w:p>
      <w:pPr>
        <w:pStyle w:val="NoSpacing1"/>
        <w:jc w:val="center"/>
        <w:rPr>
          <w:sz w:val="28"/>
          <w:szCs w:val="28"/>
        </w:rPr>
      </w:pPr>
      <w:r>
        <w:rPr>
          <w:sz w:val="28"/>
          <w:szCs w:val="28"/>
        </w:rPr>
        <w:t>74 3 00 00000 Аппарат контрольно-счетного органа   муниципального образования</w:t>
      </w:r>
    </w:p>
    <w:p>
      <w:pPr>
        <w:pStyle w:val="NoSpacing1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бюджета муниципального образования содержание аппарата контрольно-счетного органа муниципального образования.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П1484 Осуществление переданных полномочий  в сфере внешнего муниципального финансового контроля.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По данному направлению расходов отражаются расходы муниципальных районов на осуществление переданных полномочий в сфере внешнего муниципального финансового контроля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pStyle w:val="NoSpacing1"/>
        <w:jc w:val="center"/>
        <w:rPr>
          <w:sz w:val="28"/>
          <w:szCs w:val="28"/>
        </w:rPr>
      </w:pPr>
      <w:r>
        <w:rPr>
          <w:b/>
          <w:sz w:val="28"/>
          <w:szCs w:val="28"/>
        </w:rPr>
        <w:t>1.1.76. Реализация государственных функций, связанных с общегосударственным управлением</w:t>
      </w:r>
    </w:p>
    <w:p>
      <w:pPr>
        <w:pStyle w:val="NoSpacing1"/>
        <w:jc w:val="center"/>
        <w:rPr>
          <w:sz w:val="28"/>
          <w:szCs w:val="28"/>
        </w:rPr>
      </w:pPr>
      <w:r>
        <w:rPr>
          <w:sz w:val="28"/>
          <w:szCs w:val="28"/>
        </w:rPr>
        <w:t>76 0 00 00000 Реализация государственных функций, связанных с общегосударственным управлением</w:t>
      </w:r>
    </w:p>
    <w:p>
      <w:pPr>
        <w:pStyle w:val="NoSpacing1"/>
        <w:jc w:val="both"/>
        <w:rPr>
          <w:sz w:val="28"/>
          <w:szCs w:val="28"/>
        </w:rPr>
      </w:pPr>
      <w:r>
        <w:rPr>
          <w:sz w:val="28"/>
          <w:szCs w:val="28"/>
        </w:rPr>
        <w:t>Целевые статьи непрограммного направления расходов бюджета муниципального образования включают:</w:t>
      </w:r>
    </w:p>
    <w:p>
      <w:pPr>
        <w:pStyle w:val="NoSpacing1"/>
        <w:jc w:val="center"/>
        <w:rPr>
          <w:sz w:val="28"/>
          <w:szCs w:val="28"/>
        </w:rPr>
      </w:pPr>
      <w:r>
        <w:rPr>
          <w:sz w:val="28"/>
          <w:szCs w:val="28"/>
        </w:rPr>
        <w:t>76 1 00 00000 Выполнение других обязательств Курской области</w:t>
      </w:r>
    </w:p>
    <w:p>
      <w:pPr>
        <w:pStyle w:val="NoSpacing1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расходов отражаются расходы бюджета муниципального образования на выполнение других обязательств муниципального образования, не отнесенные к другим расходам.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С1404 Выполнение других (прочих) обязательств органа местного самоуправления.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По данному направлению расходов отражаются расходы местного бюджета на выполнение других обязательств муниципального образования по выплате агентских комиссий и вознаграждения, исполнение государственных гарантий, прочие выплаты по обязательствам муниципального образования, не отнесенные к другим расходам.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1.1.77. Непрограммная деятельность органов   местного самоуправления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77 0 00 00000 Непрограммная деятельность органов местного самоуправления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Целевые статьи непрограммного направления расходов бюджета муниципального образования включают: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77 2 00 00000 Непрограммные расходы органов  местного самоуправления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данной целевой статье расходов отражаются непрограммные расходы органов местного самоуправления, не предусмотренные иными целевыми статьями расходов бюджета муниципального образования, по соответствующим направлениям расходов.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С1439 </w:t>
      </w:r>
      <w:r>
        <w:rPr>
          <w:rFonts w:ascii="Times New Roman" w:hAnsi="Times New Roman"/>
          <w:sz w:val="28"/>
          <w:szCs w:val="28"/>
        </w:rPr>
        <w:t>Реализация мероприятий по распространению официальной информации.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По данному направлению расходов отражаются расходы бюджета муниципального образования на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51180 Осуществление первичного воинского учета на территориях,  где отсутствуют военные комиссариаты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на осуществление первичного воинского учета на территориях, где отсутствуют военные комиссариаты.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1.1.78.Резервные фонды органов местного самоуправления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78 0 00 00000 Резервные фонды органов местного самоуправления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статьи непрограммного направления расходов бюджета муниципального образования включают: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78 1 00 00000 Резервные фонды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данной целевой статье расходов отражаются расходы, зарезервированные в целях финансового обеспечения целевых расходов и подлежащие перераспределению в ходе исполнения бюджета.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С1403 Резервный фонд местной администрации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образования, и осуществляется расходование средств резервного фонда местных администраций.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bookmarkStart w:id="4" w:name="Par2112"/>
      <w:bookmarkEnd w:id="4"/>
      <w:r>
        <w:rPr>
          <w:rFonts w:ascii="Times New Roman" w:hAnsi="Times New Roman"/>
          <w:b/>
          <w:sz w:val="28"/>
          <w:szCs w:val="28"/>
        </w:rPr>
        <w:t>1.1.79. Непрограммные расходы на обеспечение деятельности              муниципальных казенных учреждений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79 0 00 00000 Непрограммные расходы на обеспечение деятельности           муниципальных казенных учреждений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статьи непрограммного направления расходов бюджета муниципального образования включают: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79 1 00 00000 Расходы на обеспечение деятельности муниципальных казенных учреждений, не вошедшие в программные мероприятия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данной целевой статье отражаются расходы  бюджета муниципального образования на обеспечение деятельности муниципальных казенных учреждений, не вошедшие в программные мероприятия.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С1401 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4"/>
          <w:szCs w:val="24"/>
        </w:rPr>
        <w:t>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на содержание и обеспечение деятельности (оказание услуг) муниципальных учреждений, в том числе на предоставление бюджетным и автономным учреждениям субсидий.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 w:customStyle="1">
    <w:name w:val="ListLabel 1"/>
    <w:qFormat/>
    <w:rsid w:val="00982320"/>
    <w:rPr>
      <w:rFonts w:ascii="Times New Roman" w:hAnsi="Times New Roman" w:cs="Times New Roman"/>
      <w:sz w:val="28"/>
      <w:szCs w:val="28"/>
    </w:rPr>
  </w:style>
  <w:style w:type="character" w:styleId="Style15" w:customStyle="1">
    <w:name w:val="Интернет-ссылка"/>
    <w:rsid w:val="00982320"/>
    <w:rPr>
      <w:color w:val="000080"/>
      <w:u w:val="single"/>
    </w:rPr>
  </w:style>
  <w:style w:type="character" w:styleId="ListLabel2" w:customStyle="1">
    <w:name w:val="ListLabel 2"/>
    <w:qFormat/>
    <w:rsid w:val="00982320"/>
    <w:rPr>
      <w:rFonts w:ascii="Times New Roman" w:hAnsi="Times New Roman"/>
      <w:sz w:val="28"/>
      <w:szCs w:val="28"/>
    </w:rPr>
  </w:style>
  <w:style w:type="character" w:styleId="ListLabel3" w:customStyle="1">
    <w:name w:val="ListLabel 3"/>
    <w:qFormat/>
    <w:rsid w:val="00982320"/>
    <w:rPr>
      <w:rFonts w:ascii="Times New Roman" w:hAnsi="Times New Roman" w:cs="Times New Roman"/>
      <w:sz w:val="28"/>
      <w:szCs w:val="28"/>
    </w:rPr>
  </w:style>
  <w:style w:type="character" w:styleId="ListLabel4" w:customStyle="1">
    <w:name w:val="ListLabel 4"/>
    <w:qFormat/>
    <w:rsid w:val="00982320"/>
    <w:rPr>
      <w:rFonts w:ascii="Times New Roman" w:hAnsi="Times New Roman"/>
      <w:sz w:val="28"/>
      <w:szCs w:val="28"/>
    </w:rPr>
  </w:style>
  <w:style w:type="character" w:styleId="ListLabel5" w:customStyle="1">
    <w:name w:val="ListLabel 5"/>
    <w:qFormat/>
    <w:rsid w:val="00982320"/>
    <w:rPr>
      <w:rFonts w:ascii="Times New Roman" w:hAnsi="Times New Roman" w:cs="Times New Roman"/>
      <w:sz w:val="28"/>
      <w:szCs w:val="28"/>
    </w:rPr>
  </w:style>
  <w:style w:type="character" w:styleId="ListLabel6" w:customStyle="1">
    <w:name w:val="ListLabel 6"/>
    <w:qFormat/>
    <w:rsid w:val="00982320"/>
    <w:rPr>
      <w:rFonts w:ascii="Times New Roman" w:hAnsi="Times New Roman"/>
      <w:sz w:val="28"/>
      <w:szCs w:val="28"/>
    </w:rPr>
  </w:style>
  <w:style w:type="character" w:styleId="ListLabel7" w:customStyle="1">
    <w:name w:val="ListLabel 7"/>
    <w:qFormat/>
    <w:rsid w:val="00982320"/>
    <w:rPr>
      <w:rFonts w:ascii="Times New Roman" w:hAnsi="Times New Roman" w:cs="Times New Roman"/>
      <w:sz w:val="28"/>
      <w:szCs w:val="28"/>
    </w:rPr>
  </w:style>
  <w:style w:type="character" w:styleId="ListLabel8" w:customStyle="1">
    <w:name w:val="ListLabel 8"/>
    <w:qFormat/>
    <w:rsid w:val="00982320"/>
    <w:rPr>
      <w:rFonts w:ascii="Times New Roman" w:hAnsi="Times New Roman"/>
      <w:sz w:val="28"/>
      <w:szCs w:val="28"/>
    </w:rPr>
  </w:style>
  <w:style w:type="character" w:styleId="WW8Num1z0" w:customStyle="1">
    <w:name w:val="WW8Num1z0"/>
    <w:qFormat/>
    <w:rsid w:val="00982320"/>
    <w:rPr/>
  </w:style>
  <w:style w:type="character" w:styleId="ListLabel9" w:customStyle="1">
    <w:name w:val="ListLabel 9"/>
    <w:qFormat/>
    <w:rsid w:val="00982320"/>
    <w:rPr>
      <w:rFonts w:ascii="Times New Roman" w:hAnsi="Times New Roman" w:cs="Times New Roman"/>
      <w:sz w:val="28"/>
      <w:szCs w:val="28"/>
    </w:rPr>
  </w:style>
  <w:style w:type="character" w:styleId="WW8Num2z0" w:customStyle="1">
    <w:name w:val="WW8Num2z0"/>
    <w:qFormat/>
    <w:rsid w:val="00982320"/>
    <w:rPr/>
  </w:style>
  <w:style w:type="character" w:styleId="ListLabel10" w:customStyle="1">
    <w:name w:val="ListLabel 10"/>
    <w:qFormat/>
    <w:rsid w:val="00982320"/>
    <w:rPr>
      <w:rFonts w:ascii="Times New Roman" w:hAnsi="Times New Roman" w:cs="Times New Roman"/>
      <w:b/>
      <w:sz w:val="24"/>
      <w:szCs w:val="24"/>
    </w:rPr>
  </w:style>
  <w:style w:type="character" w:styleId="ListLabel11" w:customStyle="1">
    <w:name w:val="ListLabel 11"/>
    <w:qFormat/>
    <w:rsid w:val="00982320"/>
    <w:rPr>
      <w:rFonts w:ascii="Times New Roman" w:hAnsi="Times New Roman" w:cs="Times New Roman"/>
      <w:sz w:val="24"/>
      <w:szCs w:val="24"/>
    </w:rPr>
  </w:style>
  <w:style w:type="character" w:styleId="ListLabel12" w:customStyle="1">
    <w:name w:val="ListLabel 12"/>
    <w:qFormat/>
    <w:rsid w:val="00982320"/>
    <w:rPr>
      <w:rFonts w:ascii="Times New Roman" w:hAnsi="Times New Roman" w:cs="Times New Roman"/>
      <w:b/>
      <w:sz w:val="28"/>
      <w:szCs w:val="28"/>
    </w:rPr>
  </w:style>
  <w:style w:type="character" w:styleId="ListLabel13" w:customStyle="1">
    <w:name w:val="ListLabel 13"/>
    <w:qFormat/>
    <w:rsid w:val="00982320"/>
    <w:rPr>
      <w:rFonts w:ascii="Times New Roman" w:hAnsi="Times New Roman" w:cs="Times New Roman"/>
      <w:sz w:val="28"/>
      <w:szCs w:val="28"/>
    </w:rPr>
  </w:style>
  <w:style w:type="character" w:styleId="ListLabel14">
    <w:name w:val="ListLabel 14"/>
    <w:qFormat/>
    <w:rPr>
      <w:rFonts w:ascii="Times New Roman" w:hAnsi="Times New Roman"/>
      <w:b/>
      <w:sz w:val="28"/>
      <w:szCs w:val="28"/>
    </w:rPr>
  </w:style>
  <w:style w:type="character" w:styleId="ListLabel15">
    <w:name w:val="ListLabel 15"/>
    <w:qFormat/>
    <w:rPr>
      <w:rFonts w:ascii="Times New Roman" w:hAnsi="Times New Roman"/>
      <w:sz w:val="28"/>
      <w:szCs w:val="28"/>
    </w:rPr>
  </w:style>
  <w:style w:type="paragraph" w:styleId="Style16" w:customStyle="1">
    <w:name w:val="Заголовок"/>
    <w:basedOn w:val="Normal"/>
    <w:next w:val="Style17"/>
    <w:qFormat/>
    <w:rsid w:val="00982320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rsid w:val="00982320"/>
    <w:pPr>
      <w:spacing w:before="0" w:after="140"/>
    </w:pPr>
    <w:rPr/>
  </w:style>
  <w:style w:type="paragraph" w:styleId="Style18">
    <w:name w:val="List"/>
    <w:basedOn w:val="Style17"/>
    <w:rsid w:val="00982320"/>
    <w:pPr/>
    <w:rPr>
      <w:rFonts w:cs="Lucida Sans"/>
    </w:rPr>
  </w:style>
  <w:style w:type="paragraph" w:styleId="Style19" w:customStyle="1">
    <w:name w:val="Caption"/>
    <w:basedOn w:val="Normal"/>
    <w:qFormat/>
    <w:rsid w:val="0098232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982320"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cs="Arial" w:eastAsia="Times New Roman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cs="Courier New" w:eastAsia="Times New Roman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cs="Arial" w:eastAsia="Times New Roman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cs="Arial" w:eastAsia="Times New Roman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cs="Courier New" w:eastAsia="Times New Roman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cs="Arial" w:eastAsia="Times New Roman"/>
      <w:color w:val="00000A"/>
      <w:kern w:val="0"/>
      <w:sz w:val="22"/>
      <w:szCs w:val="20"/>
      <w:lang w:val="ru-RU" w:eastAsia="ru-RU" w:bidi="ar-SA"/>
    </w:rPr>
  </w:style>
  <w:style w:type="paragraph" w:styleId="Style22" w:customStyle="1">
    <w:name w:val="Содержимое врезки"/>
    <w:basedOn w:val="Normal"/>
    <w:qFormat/>
    <w:rsid w:val="00982320"/>
    <w:pPr/>
    <w:rPr/>
  </w:style>
  <w:style w:type="paragraph" w:styleId="ListParagraph">
    <w:name w:val="List Paragraph"/>
    <w:basedOn w:val="Normal"/>
    <w:qFormat/>
    <w:rsid w:val="00982320"/>
    <w:pPr>
      <w:spacing w:before="0" w:after="200"/>
      <w:ind w:left="720" w:hanging="0"/>
      <w:contextualSpacing/>
    </w:pPr>
    <w:rPr/>
  </w:style>
  <w:style w:type="paragraph" w:styleId="BodyText2">
    <w:name w:val="Body Text 2"/>
    <w:basedOn w:val="Normal"/>
    <w:qFormat/>
    <w:rsid w:val="00982320"/>
    <w:pPr>
      <w:widowControl w:val="false"/>
      <w:spacing w:lineRule="auto" w:line="480" w:before="0" w:after="120"/>
    </w:pPr>
    <w:rPr>
      <w:rFonts w:ascii="Times New Roman" w:hAnsi="Times New Roman"/>
      <w:sz w:val="20"/>
      <w:szCs w:val="20"/>
    </w:rPr>
  </w:style>
  <w:style w:type="paragraph" w:styleId="NoSpacing1" w:customStyle="1">
    <w:name w:val="No Spacing1"/>
    <w:qFormat/>
    <w:rsid w:val="00982320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zh-CN" w:val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982320"/>
  </w:style>
  <w:style w:type="numbering" w:styleId="WW8Num2" w:customStyle="1">
    <w:name w:val="WW8Num2"/>
    <w:qFormat/>
    <w:rsid w:val="00982320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C6EF3AE28B6C46D1117CBBA251A07B11C6C7C5768D67618A03322DA1BBA42282C9440EEF08E6CC43400635U6VAM" TargetMode="External"/><Relationship Id="rId3" Type="http://schemas.openxmlformats.org/officeDocument/2006/relationships/hyperlink" Target="consultantplus://offline/ref=E97347D6B77F70281CE5D7EBD1CAB268A8B45EF8332E6DA40B8521BFAB0D6CCFEA988E8E1FFB6635396C7E62g4L" TargetMode="External"/><Relationship Id="rId4" Type="http://schemas.openxmlformats.org/officeDocument/2006/relationships/hyperlink" Target="consultantplus://offline/ref=C6EF3AE28B6C46D1117CBBA251A07B11C6C7C5768D67618A03322DA1BBA42282C9440EEF08E6CC43400635U6VAM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Application>LibreOffice/6.0.3.2$Windows_x86 LibreOffice_project/8f48d515416608e3a835360314dac7e47fd0b821</Application>
  <Pages>7</Pages>
  <Words>1600</Words>
  <Characters>13088</Characters>
  <CharactersWithSpaces>14873</CharactersWithSpaces>
  <Paragraphs>115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2019-11-06T10:57:00Z</cp:lastPrinted>
  <dcterms:modified xsi:type="dcterms:W3CDTF">2019-11-19T10:05:58Z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